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3B57"/>
          <w:sz w:val="48"/>
          <w:szCs w:val="48"/>
        </w:rPr>
        <w:t xml:space="preserve">PAYING FOR THERAPY</w:t>
      </w:r>
    </w:p>
    <w:p>
      <w:pPr>
        <w:spacing w:after="260"/>
      </w:pPr>
      <w:r>
        <w:rPr>
          <w:b/>
          <w:bCs/>
          <w:color w:val="2E7D74"/>
          <w:sz w:val="26"/>
          <w:szCs w:val="26"/>
        </w:rPr>
        <w:t xml:space="preserve">A Step-by-Step Grant Guide for Families</w:t>
      </w:r>
    </w:p>
    <w:p>
      <w:pPr>
        <w:spacing w:after="120"/>
      </w:pPr>
      <w:r>
        <w:rPr>
          <w:b w:val="false"/>
          <w:bCs w:val="false"/>
          <w:i w:val="false"/>
          <w:iCs w:val="false"/>
          <w:color w:val="222222"/>
          <w:sz w:val="21"/>
          <w:szCs w:val="21"/>
        </w:rPr>
        <w:t xml:space="preserve">This guide walks you through finding, targeting, and applying for grants that help cover ABA, speech, and occupational therapy costs — including deductibles, co-pays, and out-of-pocket maximums. Set aside about an hour to gather your documents, then work through the checklists below.</w:t>
      </w:r>
    </w:p>
    <w:p>
      <w:pPr>
        <w:spacing w:after="200"/>
      </w:pPr>
    </w:p>
    <w:p>
      <w:pPr>
        <w:pStyle w:val="Heading1"/>
        <w:pBdr>
          <w:bottom w:val="single" w:color="2E7D74" w:sz="8" w:space="4"/>
        </w:pBdr>
        <w:spacing w:after="160" w:before="360"/>
      </w:pPr>
      <w:r>
        <w:rPr>
          <w:b/>
          <w:bCs/>
          <w:color w:val="1F3B57"/>
          <w:sz w:val="30"/>
          <w:szCs w:val="30"/>
        </w:rPr>
        <w:t xml:space="preserve">Step 1 — Build Your Application Go-Bag</w:t>
      </w:r>
    </w:p>
    <w:p>
      <w:pPr>
        <w:spacing w:after="120"/>
      </w:pPr>
      <w:r>
        <w:rPr>
          <w:b w:val="false"/>
          <w:bCs w:val="false"/>
          <w:i w:val="false"/>
          <w:iCs w:val="false"/>
          <w:color w:val="222222"/>
          <w:sz w:val="21"/>
          <w:szCs w:val="21"/>
        </w:rPr>
        <w:t xml:space="preserve">Grant applications move fast, and many close once a funding pool is met. Gather these documents before you open a single application:</w:t>
      </w:r>
    </w:p>
    <w:p>
      <w:pPr>
        <w:spacing w:after="90"/>
      </w:pPr>
      <w:r>
        <w:rPr>
          <w:b/>
          <w:bCs/>
          <w:color w:val="1F3B57"/>
          <w:sz w:val="22"/>
          <w:szCs w:val="22"/>
        </w:rPr>
        <w:t xml:space="preserve">☐  </w:t>
      </w:r>
      <w:r>
        <w:rPr>
          <w:color w:val="222222"/>
          <w:sz w:val="21"/>
          <w:szCs w:val="21"/>
        </w:rPr>
        <w:t xml:space="preserve">Official diagnostic evaluation (ASD diagnosis report)</w:t>
      </w:r>
    </w:p>
    <w:p>
      <w:pPr>
        <w:spacing w:after="90"/>
      </w:pPr>
      <w:r>
        <w:rPr>
          <w:b/>
          <w:bCs/>
          <w:color w:val="1F3B57"/>
          <w:sz w:val="22"/>
          <w:szCs w:val="22"/>
        </w:rPr>
        <w:t xml:space="preserve">☐  </w:t>
      </w:r>
      <w:r>
        <w:rPr>
          <w:color w:val="222222"/>
          <w:sz w:val="21"/>
          <w:szCs w:val="21"/>
        </w:rPr>
        <w:t xml:space="preserve">Letter of Medical Necessity from your BCBA or physician</w:t>
      </w:r>
    </w:p>
    <w:p>
      <w:pPr>
        <w:spacing w:after="90"/>
      </w:pPr>
      <w:r>
        <w:rPr>
          <w:b/>
          <w:bCs/>
          <w:color w:val="1F3B57"/>
          <w:sz w:val="22"/>
          <w:szCs w:val="22"/>
        </w:rPr>
        <w:t xml:space="preserve">☐  </w:t>
      </w:r>
      <w:r>
        <w:rPr>
          <w:color w:val="222222"/>
          <w:sz w:val="21"/>
          <w:szCs w:val="21"/>
        </w:rPr>
        <w:t xml:space="preserve">Most recent tax return or W-2s (most grants are needs-based)</w:t>
      </w:r>
    </w:p>
    <w:p>
      <w:pPr>
        <w:spacing w:after="90"/>
      </w:pPr>
      <w:r>
        <w:rPr>
          <w:b/>
          <w:bCs/>
          <w:color w:val="1F3B57"/>
          <w:sz w:val="22"/>
          <w:szCs w:val="22"/>
        </w:rPr>
        <w:t xml:space="preserve">☐  </w:t>
      </w:r>
      <w:r>
        <w:rPr>
          <w:color w:val="222222"/>
          <w:sz w:val="21"/>
          <w:szCs w:val="21"/>
        </w:rPr>
        <w:t xml:space="preserve">Proof of insurance (insurance card + policy details)</w:t>
      </w:r>
    </w:p>
    <w:p>
      <w:pPr>
        <w:spacing w:after="90"/>
      </w:pPr>
      <w:r>
        <w:rPr>
          <w:b/>
          <w:bCs/>
          <w:color w:val="1F3B57"/>
          <w:sz w:val="22"/>
          <w:szCs w:val="22"/>
        </w:rPr>
        <w:t xml:space="preserve">☐  </w:t>
      </w:r>
      <w:r>
        <w:rPr>
          <w:color w:val="222222"/>
          <w:sz w:val="21"/>
          <w:szCs w:val="21"/>
        </w:rPr>
        <w:t xml:space="preserve">Your child's IEP or Person-Centered Plan, if applicable</w:t>
      </w:r>
    </w:p>
    <w:p>
      <w:pPr>
        <w:spacing w:after="90"/>
      </w:pPr>
      <w:r>
        <w:rPr>
          <w:b/>
          <w:bCs/>
          <w:color w:val="1F3B57"/>
          <w:sz w:val="22"/>
          <w:szCs w:val="22"/>
        </w:rPr>
        <w:t xml:space="preserve">☐  </w:t>
      </w:r>
      <w:r>
        <w:rPr>
          <w:color w:val="222222"/>
          <w:sz w:val="21"/>
          <w:szCs w:val="21"/>
        </w:rPr>
        <w:t xml:space="preserve">A folder (physical or digital) to hold copies of everything above</w:t>
      </w:r>
    </w:p>
    <w:p>
      <w:pPr>
        <w:spacing w:after="160"/>
      </w:pPr>
    </w:p>
    <w:p>
      <w:pPr>
        <w:pStyle w:val="Heading1"/>
        <w:pBdr>
          <w:bottom w:val="single" w:color="2E7D74" w:sz="8" w:space="4"/>
        </w:pBdr>
        <w:spacing w:after="160" w:before="360"/>
      </w:pPr>
      <w:r>
        <w:rPr>
          <w:b/>
          <w:bCs/>
          <w:color w:val="1F3B57"/>
          <w:sz w:val="30"/>
          <w:szCs w:val="30"/>
        </w:rPr>
        <w:t xml:space="preserve">Step 2 — Find Your Exact Dollar Gap</w:t>
      </w:r>
    </w:p>
    <w:p>
      <w:pPr>
        <w:spacing w:after="120"/>
      </w:pPr>
      <w:r>
        <w:rPr>
          <w:b w:val="false"/>
          <w:bCs w:val="false"/>
          <w:i w:val="false"/>
          <w:iCs w:val="false"/>
          <w:color w:val="222222"/>
          <w:sz w:val="21"/>
          <w:szCs w:val="21"/>
        </w:rPr>
        <w:t xml:space="preserve">Grant committees respond better to a specific number than a general request. Pull your insurance Explanation of Benefits (EOB) and find these three figures: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 xml:space="preserve">Deductible remaining — how much you still owe before insurance starts paying its share.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 xml:space="preserve">Co-pay per session — your cost for each ABA, speech, or OT visit.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color w:val="222222"/>
          <w:sz w:val="21"/>
          <w:szCs w:val="21"/>
        </w:rPr>
        <w:t xml:space="preserve">Out-of-pocket maximum (MOOP) — the most you'll pay this plan year; once you hit it, insurance covers 100%.</w:t>
      </w:r>
    </w:p>
    <w:p>
      <w:pPr>
        <w:spacing w:after="100"/>
      </w:pPr>
    </w:p>
    <w:tbl>
      <w:tblPr>
        <w:tblW w:type="dxa" w:w="10080"/>
        <w:tblBorders>
          <w:top w:val="single" w:color="2E7D74" w:sz="4"/>
          <w:left w:val="single" w:color="2E7D74" w:sz="4"/>
          <w:bottom w:val="single" w:color="2E7D74" w:sz="4"/>
          <w:right w:val="single" w:color="2E7D74" w:sz="4"/>
          <w:insideH w:val="none" w:color="FFFFFF" w:sz="0"/>
          <w:insideV w:val="none" w:color="FFFFFF" w:sz="0"/>
        </w:tblBorders>
      </w:tblPr>
      <w:tblGrid>
        <w:gridCol w:w="10080"/>
      </w:tblGrid>
      <w:tr>
        <w:tc>
          <w:tcPr>
            <w:tcW w:type="dxa" w:w="10080"/>
            <w:shd w:fill="EAF2F1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F3B57"/>
                <w:sz w:val="21"/>
                <w:szCs w:val="21"/>
              </w:rPr>
              <w:t xml:space="preserve">Where to find it on your EOB</w:t>
            </w:r>
          </w:p>
          <w:p>
            <w:pPr>
              <w:spacing w:after="40"/>
            </w:pPr>
            <w:r>
              <w:rPr>
                <w:color w:val="333333"/>
                <w:sz w:val="20"/>
                <w:szCs w:val="20"/>
              </w:rPr>
              <w:t xml:space="preserve">•  "Deductible" and "Amount you owe" are usually on the first page or summary section.</w:t>
            </w:r>
          </w:p>
          <w:p>
            <w:pPr>
              <w:spacing w:after="40"/>
            </w:pPr>
            <w:r>
              <w:rPr>
                <w:color w:val="333333"/>
                <w:sz w:val="20"/>
                <w:szCs w:val="20"/>
              </w:rPr>
              <w:t xml:space="preserve">•  "Out-of-pocket maximum" is often listed with your deductible under plan totals.</w:t>
            </w:r>
          </w:p>
          <w:p>
            <w:pPr>
              <w:spacing w:after="40"/>
            </w:pPr>
            <w:r>
              <w:rPr>
                <w:color w:val="333333"/>
                <w:sz w:val="20"/>
                <w:szCs w:val="20"/>
              </w:rPr>
              <w:t xml:space="preserve">•  Call the number on the back of your insurance card if the EOB is unclear — ask specifically: "What is my remaining deductible and out-of-pocket max for this plan year?"</w:t>
            </w:r>
          </w:p>
        </w:tc>
      </w:tr>
    </w:tbl>
    <w:p>
      <w:pPr>
        <w:spacing w:after="160"/>
      </w:pPr>
    </w:p>
    <w:p>
      <w:pPr>
        <w:pStyle w:val="Heading1"/>
        <w:pBdr>
          <w:bottom w:val="single" w:color="2E7D74" w:sz="8" w:space="4"/>
        </w:pBdr>
        <w:spacing w:after="160" w:before="360"/>
      </w:pPr>
      <w:r>
        <w:rPr>
          <w:b/>
          <w:bCs/>
          <w:color w:val="1F3B57"/>
          <w:sz w:val="30"/>
          <w:szCs w:val="30"/>
        </w:rPr>
        <w:t xml:space="preserve">Step 3 — Match Your Needs to the Right Fund</w:t>
      </w:r>
    </w:p>
    <w:p>
      <w:pPr>
        <w:spacing w:after="120"/>
      </w:pPr>
      <w:r>
        <w:rPr>
          <w:b w:val="false"/>
          <w:bCs w:val="false"/>
          <w:i w:val="false"/>
          <w:iCs w:val="false"/>
          <w:color w:val="222222"/>
          <w:sz w:val="21"/>
          <w:szCs w:val="21"/>
        </w:rPr>
        <w:t xml:space="preserve">Not every grant covers clinical therapy — some fund recreational programs or equipment instead. Use this table to target your time toward funds that actually fit your need.</w:t>
      </w:r>
    </w:p>
    <w:p>
      <w:pPr>
        <w:spacing w:after="100"/>
      </w:pP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2000"/>
        <w:gridCol w:w="1500"/>
        <w:gridCol w:w="2400"/>
        <w:gridCol w:w="1900"/>
      </w:tblGrid>
      <w:tr>
        <w:trPr>
          <w:tblHeader/>
        </w:trPr>
        <w:tc>
          <w:tcPr>
            <w:tcW w:type="dxa" w:w="1900"/>
            <w:shd w:fill="1F3B5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Fund</w:t>
            </w:r>
          </w:p>
        </w:tc>
        <w:tc>
          <w:tcPr>
            <w:tcW w:type="dxa" w:w="2000"/>
            <w:shd w:fill="1F3B5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Covers ABA / Speech / OT?</w:t>
            </w:r>
          </w:p>
        </w:tc>
        <w:tc>
          <w:tcPr>
            <w:tcW w:type="dxa" w:w="1500"/>
            <w:shd w:fill="1F3B5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Typical Max Award</w:t>
            </w:r>
          </w:p>
        </w:tc>
        <w:tc>
          <w:tcPr>
            <w:tcW w:type="dxa" w:w="2400"/>
            <w:shd w:fill="1F3B5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Key Limits</w:t>
            </w:r>
          </w:p>
        </w:tc>
        <w:tc>
          <w:tcPr>
            <w:tcW w:type="dxa" w:w="1900"/>
            <w:shd w:fill="1F3B57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Cycle / Timing</w:t>
            </w:r>
          </w:p>
        </w:tc>
      </w:tr>
      <w:tr>
        <w:tc>
          <w:tcPr>
            <w:tcW w:type="dxa" w:w="1900"/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color w:val="222222"/>
                <w:sz w:val="17"/>
                <w:szCs w:val="17"/>
              </w:rPr>
              <w:t xml:space="preserve">Autism Care Today (ACT)</w:t>
            </w:r>
          </w:p>
        </w:tc>
        <w:tc>
          <w:tcPr>
            <w:tcW w:type="dxa" w:w="2000"/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color w:val="222222"/>
                <w:sz w:val="17"/>
                <w:szCs w:val="17"/>
              </w:rPr>
              <w:t xml:space="preserve">Yes — ABA, speech, OT, assistive tech, safety equipment</w:t>
            </w:r>
          </w:p>
        </w:tc>
        <w:tc>
          <w:tcPr>
            <w:tcW w:type="dxa" w:w="1500"/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color w:val="222222"/>
                <w:sz w:val="17"/>
                <w:szCs w:val="17"/>
              </w:rPr>
              <w:t xml:space="preserve">Up to $5,000</w:t>
            </w:r>
          </w:p>
        </w:tc>
        <w:tc>
          <w:tcPr>
            <w:tcW w:type="dxa" w:w="2400"/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color w:val="222222"/>
                <w:sz w:val="17"/>
                <w:szCs w:val="17"/>
              </w:rPr>
              <w:t xml:space="preserve">Paid directly to provider; income considered</w:t>
            </w:r>
          </w:p>
        </w:tc>
        <w:tc>
          <w:tcPr>
            <w:tcW w:type="dxa" w:w="1900"/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color w:val="222222"/>
                <w:sz w:val="17"/>
                <w:szCs w:val="17"/>
              </w:rPr>
              <w:t xml:space="preserve">Quarterly; SOS track for urgent need</w:t>
            </w:r>
          </w:p>
        </w:tc>
      </w:tr>
      <w:tr>
        <w:tc>
          <w:tcPr>
            <w:tcW w:type="dxa" w:w="1900"/>
            <w:shd w:fill="EAF2F1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color w:val="222222"/>
                <w:sz w:val="17"/>
                <w:szCs w:val="17"/>
              </w:rPr>
              <w:t xml:space="preserve">United Healthcare Children's Foundation (UHCCF)</w:t>
            </w:r>
          </w:p>
        </w:tc>
        <w:tc>
          <w:tcPr>
            <w:tcW w:type="dxa" w:w="2000"/>
            <w:shd w:fill="EAF2F1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color w:val="222222"/>
                <w:sz w:val="17"/>
                <w:szCs w:val="17"/>
              </w:rPr>
              <w:t xml:space="preserve">Yes — deductibles/co-pays for many health services incl. therapy</w:t>
            </w:r>
          </w:p>
        </w:tc>
        <w:tc>
          <w:tcPr>
            <w:tcW w:type="dxa" w:w="1500"/>
            <w:shd w:fill="EAF2F1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color w:val="222222"/>
                <w:sz w:val="17"/>
                <w:szCs w:val="17"/>
              </w:rPr>
              <w:t xml:space="preserve">Up to $5,000</w:t>
            </w:r>
          </w:p>
        </w:tc>
        <w:tc>
          <w:tcPr>
            <w:tcW w:type="dxa" w:w="2400"/>
            <w:shd w:fill="EAF2F1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color w:val="222222"/>
                <w:sz w:val="17"/>
                <w:szCs w:val="17"/>
              </w:rPr>
              <w:t xml:space="preserve">Family must have commercial insurance</w:t>
            </w:r>
          </w:p>
        </w:tc>
        <w:tc>
          <w:tcPr>
            <w:tcW w:type="dxa" w:w="1900"/>
            <w:shd w:fill="EAF2F1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color w:val="222222"/>
                <w:sz w:val="17"/>
                <w:szCs w:val="17"/>
              </w:rPr>
              <w:t xml:space="preserve">Rolling; apply as soon as costs are known</w:t>
            </w:r>
          </w:p>
        </w:tc>
      </w:tr>
      <w:tr>
        <w:tc>
          <w:tcPr>
            <w:tcW w:type="dxa" w:w="1900"/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color w:val="222222"/>
                <w:sz w:val="17"/>
                <w:szCs w:val="17"/>
              </w:rPr>
              <w:t xml:space="preserve">Channing's Joy Foundation</w:t>
            </w:r>
          </w:p>
        </w:tc>
        <w:tc>
          <w:tcPr>
            <w:tcW w:type="dxa" w:w="2000"/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color w:val="222222"/>
                <w:sz w:val="17"/>
                <w:szCs w:val="17"/>
              </w:rPr>
              <w:t xml:space="preserve">Yes — therapy costs &amp; diagnosis-related expenses</w:t>
            </w:r>
          </w:p>
        </w:tc>
        <w:tc>
          <w:tcPr>
            <w:tcW w:type="dxa" w:w="1500"/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color w:val="222222"/>
                <w:sz w:val="17"/>
                <w:szCs w:val="17"/>
              </w:rPr>
              <w:t xml:space="preserve">Varies by request</w:t>
            </w:r>
          </w:p>
        </w:tc>
        <w:tc>
          <w:tcPr>
            <w:tcW w:type="dxa" w:w="2400"/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color w:val="222222"/>
                <w:sz w:val="17"/>
                <w:szCs w:val="17"/>
              </w:rPr>
              <w:t xml:space="preserve">Closes at 300 applications per cycle, then reopens; income limit applies in some regions</w:t>
            </w:r>
          </w:p>
        </w:tc>
        <w:tc>
          <w:tcPr>
            <w:tcW w:type="dxa" w:w="1900"/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color w:val="222222"/>
                <w:sz w:val="17"/>
                <w:szCs w:val="17"/>
              </w:rPr>
              <w:t xml:space="preserve">Opens periodically — apply the day it opens</w:t>
            </w:r>
          </w:p>
        </w:tc>
      </w:tr>
      <w:tr>
        <w:tc>
          <w:tcPr>
            <w:tcW w:type="dxa" w:w="1900"/>
            <w:shd w:fill="EAF2F1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color w:val="222222"/>
                <w:sz w:val="17"/>
                <w:szCs w:val="17"/>
              </w:rPr>
              <w:t xml:space="preserve">Jack's Place for Autism (MI only)</w:t>
            </w:r>
          </w:p>
        </w:tc>
        <w:tc>
          <w:tcPr>
            <w:tcW w:type="dxa" w:w="2000"/>
            <w:shd w:fill="EAF2F1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color w:val="222222"/>
                <w:sz w:val="17"/>
                <w:szCs w:val="17"/>
              </w:rPr>
              <w:t xml:space="preserve">No — recreational/community programs only (arts, sports, music, camps)</w:t>
            </w:r>
          </w:p>
        </w:tc>
        <w:tc>
          <w:tcPr>
            <w:tcW w:type="dxa" w:w="1500"/>
            <w:shd w:fill="EAF2F1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color w:val="222222"/>
                <w:sz w:val="17"/>
                <w:szCs w:val="17"/>
              </w:rPr>
              <w:t xml:space="preserve">Up to $250/year (80% of program cost)</w:t>
            </w:r>
          </w:p>
        </w:tc>
        <w:tc>
          <w:tcPr>
            <w:tcW w:type="dxa" w:w="2400"/>
            <w:shd w:fill="EAF2F1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color w:val="222222"/>
                <w:sz w:val="17"/>
                <w:szCs w:val="17"/>
              </w:rPr>
              <w:t xml:space="preserve">Michigan residents only; does not fund clinical therapy</w:t>
            </w:r>
          </w:p>
        </w:tc>
        <w:tc>
          <w:tcPr>
            <w:tcW w:type="dxa" w:w="1900"/>
            <w:shd w:fill="EAF2F1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color w:val="222222"/>
                <w:sz w:val="17"/>
                <w:szCs w:val="17"/>
              </w:rPr>
              <w:t xml:space="preserve">Apply several weeks before program start — confirm current lead time</w:t>
            </w:r>
          </w:p>
        </w:tc>
      </w:tr>
      <w:tr>
        <w:tc>
          <w:tcPr>
            <w:tcW w:type="dxa" w:w="1900"/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color w:val="222222"/>
                <w:sz w:val="17"/>
                <w:szCs w:val="17"/>
              </w:rPr>
              <w:t xml:space="preserve">MDHHS Children with Special Needs Fund (MI only)</w:t>
            </w:r>
          </w:p>
        </w:tc>
        <w:tc>
          <w:tcPr>
            <w:tcW w:type="dxa" w:w="2000"/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color w:val="222222"/>
                <w:sz w:val="17"/>
                <w:szCs w:val="17"/>
              </w:rPr>
              <w:t xml:space="preserve">No — adaptive equipment &amp; accessibility, not clinical therapy</w:t>
            </w:r>
          </w:p>
        </w:tc>
        <w:tc>
          <w:tcPr>
            <w:tcW w:type="dxa" w:w="1500"/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color w:val="222222"/>
                <w:sz w:val="17"/>
                <w:szCs w:val="17"/>
              </w:rPr>
              <w:t xml:space="preserve">Varies</w:t>
            </w:r>
          </w:p>
        </w:tc>
        <w:tc>
          <w:tcPr>
            <w:tcW w:type="dxa" w:w="2400"/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color w:val="222222"/>
                <w:sz w:val="17"/>
                <w:szCs w:val="17"/>
              </w:rPr>
              <w:t xml:space="preserve">Michigan residents; frees up budget for therapy elsewhere</w:t>
            </w:r>
          </w:p>
        </w:tc>
        <w:tc>
          <w:tcPr>
            <w:tcW w:type="dxa" w:w="1900"/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color w:val="222222"/>
                <w:sz w:val="17"/>
                <w:szCs w:val="17"/>
              </w:rPr>
              <w:t xml:space="preserve">Check current MDHHS guidelines</w:t>
            </w:r>
          </w:p>
        </w:tc>
      </w:tr>
    </w:tbl>
    <w:p>
      <w:pPr>
        <w:spacing w:after="120"/>
      </w:pPr>
    </w:p>
    <w:p>
      <w:pPr>
        <w:spacing w:after="120"/>
      </w:pPr>
      <w:r>
        <w:rPr>
          <w:b w:val="false"/>
          <w:bCs w:val="false"/>
          <w:i/>
          <w:iCs/>
          <w:color w:val="222222"/>
          <w:sz w:val="21"/>
          <w:szCs w:val="21"/>
        </w:rPr>
        <w:t xml:space="preserve">Note: award amounts, income limits, and deadlines change. Confirm current details on each organization's website before applying.</w:t>
      </w:r>
    </w:p>
    <w:p>
      <w:pPr>
        <w:spacing w:after="160"/>
      </w:pPr>
    </w:p>
    <w:p>
      <w:pPr>
        <w:pStyle w:val="Heading1"/>
        <w:pBdr>
          <w:bottom w:val="single" w:color="2E7D74" w:sz="8" w:space="4"/>
        </w:pBdr>
        <w:spacing w:after="160" w:before="360"/>
      </w:pPr>
      <w:r>
        <w:rPr>
          <w:b/>
          <w:bCs/>
          <w:color w:val="1F3B57"/>
          <w:sz w:val="30"/>
          <w:szCs w:val="30"/>
        </w:rPr>
        <w:t xml:space="preserve">Step 4 — Apply the Day Applications Open</w:t>
      </w:r>
    </w:p>
    <w:p>
      <w:pPr>
        <w:spacing w:after="120"/>
      </w:pPr>
      <w:r>
        <w:rPr>
          <w:b w:val="false"/>
          <w:bCs w:val="false"/>
          <w:i w:val="false"/>
          <w:iCs w:val="false"/>
          <w:color w:val="222222"/>
          <w:sz w:val="21"/>
          <w:szCs w:val="21"/>
        </w:rPr>
        <w:t xml:space="preserve">Funding pools shrink quickly. Once you know which grants fit, move fast: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color w:val="222222"/>
          <w:sz w:val="21"/>
          <w:szCs w:val="21"/>
        </w:rPr>
        <w:t xml:space="preserve">Set a calendar reminder for each fund's quarterly or seasonal opening date.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color w:val="222222"/>
          <w:sz w:val="21"/>
          <w:szCs w:val="21"/>
        </w:rPr>
        <w:t xml:space="preserve">Have your Go-Bag documents ready to upload the moment the portal opens.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color w:val="222222"/>
          <w:sz w:val="21"/>
          <w:szCs w:val="21"/>
        </w:rPr>
        <w:t xml:space="preserve">Ask for your exact dollar gap from Step 2 — not a round number.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color w:val="222222"/>
          <w:sz w:val="21"/>
          <w:szCs w:val="21"/>
        </w:rPr>
        <w:t xml:space="preserve">Apply to every fund you qualify for; awards can be combined.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color w:val="222222"/>
          <w:sz w:val="21"/>
          <w:szCs w:val="21"/>
        </w:rPr>
        <w:t xml:space="preserve">Note each fund's answer (approved, denied, waitlisted) in the tracker below so you know when to reapply.</w:t>
      </w:r>
    </w:p>
    <w:p>
      <w:pPr>
        <w:spacing w:after="160"/>
      </w:pPr>
    </w:p>
    <w:p>
      <w:r>
        <w:br w:type="page"/>
      </w:r>
    </w:p>
    <w:p>
      <w:pPr>
        <w:pStyle w:val="Heading1"/>
        <w:pBdr>
          <w:bottom w:val="single" w:color="2E7D74" w:sz="8" w:space="4"/>
        </w:pBdr>
        <w:spacing w:after="160" w:before="360"/>
      </w:pPr>
      <w:r>
        <w:rPr>
          <w:b/>
          <w:bCs/>
          <w:color w:val="1F3B57"/>
          <w:sz w:val="30"/>
          <w:szCs w:val="30"/>
        </w:rPr>
        <w:t xml:space="preserve">Pro Tips from the Billing Desk</w:t>
      </w:r>
    </w:p>
    <w:p>
      <w:pPr>
        <w:spacing w:after="120"/>
      </w:pPr>
      <w:r>
        <w:rPr>
          <w:b w:val="false"/>
          <w:bCs w:val="false"/>
          <w:i/>
          <w:iCs/>
          <w:color w:val="222222"/>
          <w:sz w:val="21"/>
          <w:szCs w:val="21"/>
        </w:rPr>
        <w:t xml:space="preserve">[Space for insights from an interview with the clinic's billing team — for example, common EOB mistakes families make, how to read a plan's ABA-specific coverage line, or what documentation billing staff wish families brought to their first visit.]</w:t>
      </w:r>
    </w:p>
    <w:p>
      <w:pPr>
        <w:spacing w:after="160"/>
      </w:pPr>
    </w:p>
    <w:p>
      <w:pPr>
        <w:pStyle w:val="Heading1"/>
        <w:pBdr>
          <w:bottom w:val="single" w:color="2E7D74" w:sz="8" w:space="4"/>
        </w:pBdr>
        <w:spacing w:after="160" w:before="360"/>
      </w:pPr>
      <w:r>
        <w:rPr>
          <w:b/>
          <w:bCs/>
          <w:color w:val="1F3B57"/>
          <w:sz w:val="30"/>
          <w:szCs w:val="30"/>
        </w:rPr>
        <w:t xml:space="preserve">Track Your Applications</w:t>
      </w:r>
    </w:p>
    <w:p>
      <w:pPr>
        <w:spacing w:after="120"/>
      </w:pPr>
      <w:r>
        <w:rPr>
          <w:b w:val="false"/>
          <w:bCs w:val="false"/>
          <w:i w:val="false"/>
          <w:iCs w:val="false"/>
          <w:color w:val="222222"/>
          <w:sz w:val="21"/>
          <w:szCs w:val="21"/>
        </w:rPr>
        <w:t xml:space="preserve">Use this table to keep track of what you've applied for and what's still open.</w:t>
      </w:r>
    </w:p>
    <w:p>
      <w:pPr>
        <w:spacing w:after="100"/>
      </w:pP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1900"/>
        <w:gridCol w:w="1900"/>
        <w:gridCol w:w="1900"/>
        <w:gridCol w:w="1980"/>
      </w:tblGrid>
      <w:tr>
        <w:trPr>
          <w:tblHeader/>
        </w:trPr>
        <w:tc>
          <w:tcPr>
            <w:tcW w:type="dxa" w:w="2400"/>
            <w:shd w:fill="2E7D74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Fund Name</w:t>
            </w:r>
          </w:p>
        </w:tc>
        <w:tc>
          <w:tcPr>
            <w:tcW w:type="dxa" w:w="1900"/>
            <w:shd w:fill="2E7D74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Amount Requested</w:t>
            </w:r>
          </w:p>
        </w:tc>
        <w:tc>
          <w:tcPr>
            <w:tcW w:type="dxa" w:w="1900"/>
            <w:shd w:fill="2E7D74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Date Applied</w:t>
            </w:r>
          </w:p>
        </w:tc>
        <w:tc>
          <w:tcPr>
            <w:tcW w:type="dxa" w:w="1900"/>
            <w:shd w:fill="2E7D74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Status</w:t>
            </w:r>
          </w:p>
        </w:tc>
        <w:tc>
          <w:tcPr>
            <w:tcW w:type="dxa" w:w="1980"/>
            <w:shd w:fill="2E7D74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Amount Received</w:t>
            </w:r>
          </w:p>
        </w:tc>
      </w:tr>
      <w:tr>
        <w:tc>
          <w:tcPr>
            <w:tcW w:type="dxa" w:w="2400"/>
            <w:tcMar>
              <w:top w:type="dxa" w:w="260"/>
              <w:left w:type="dxa" w:w="100"/>
              <w:bottom w:type="dxa" w:w="2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00"/>
            <w:tcMar>
              <w:top w:type="dxa" w:w="260"/>
              <w:left w:type="dxa" w:w="100"/>
              <w:bottom w:type="dxa" w:w="2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00"/>
            <w:tcMar>
              <w:top w:type="dxa" w:w="260"/>
              <w:left w:type="dxa" w:w="100"/>
              <w:bottom w:type="dxa" w:w="2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00"/>
            <w:tcMar>
              <w:top w:type="dxa" w:w="260"/>
              <w:left w:type="dxa" w:w="100"/>
              <w:bottom w:type="dxa" w:w="2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80"/>
            <w:tcMar>
              <w:top w:type="dxa" w:w="260"/>
              <w:left w:type="dxa" w:w="100"/>
              <w:bottom w:type="dxa" w:w="2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2400"/>
            <w:tcMar>
              <w:top w:type="dxa" w:w="260"/>
              <w:left w:type="dxa" w:w="100"/>
              <w:bottom w:type="dxa" w:w="2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00"/>
            <w:tcMar>
              <w:top w:type="dxa" w:w="260"/>
              <w:left w:type="dxa" w:w="100"/>
              <w:bottom w:type="dxa" w:w="2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00"/>
            <w:tcMar>
              <w:top w:type="dxa" w:w="260"/>
              <w:left w:type="dxa" w:w="100"/>
              <w:bottom w:type="dxa" w:w="2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00"/>
            <w:tcMar>
              <w:top w:type="dxa" w:w="260"/>
              <w:left w:type="dxa" w:w="100"/>
              <w:bottom w:type="dxa" w:w="2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80"/>
            <w:tcMar>
              <w:top w:type="dxa" w:w="260"/>
              <w:left w:type="dxa" w:w="100"/>
              <w:bottom w:type="dxa" w:w="2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2400"/>
            <w:tcMar>
              <w:top w:type="dxa" w:w="260"/>
              <w:left w:type="dxa" w:w="100"/>
              <w:bottom w:type="dxa" w:w="2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00"/>
            <w:tcMar>
              <w:top w:type="dxa" w:w="260"/>
              <w:left w:type="dxa" w:w="100"/>
              <w:bottom w:type="dxa" w:w="2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00"/>
            <w:tcMar>
              <w:top w:type="dxa" w:w="260"/>
              <w:left w:type="dxa" w:w="100"/>
              <w:bottom w:type="dxa" w:w="2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00"/>
            <w:tcMar>
              <w:top w:type="dxa" w:w="260"/>
              <w:left w:type="dxa" w:w="100"/>
              <w:bottom w:type="dxa" w:w="2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80"/>
            <w:tcMar>
              <w:top w:type="dxa" w:w="260"/>
              <w:left w:type="dxa" w:w="100"/>
              <w:bottom w:type="dxa" w:w="2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2400"/>
            <w:tcMar>
              <w:top w:type="dxa" w:w="260"/>
              <w:left w:type="dxa" w:w="100"/>
              <w:bottom w:type="dxa" w:w="2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00"/>
            <w:tcMar>
              <w:top w:type="dxa" w:w="260"/>
              <w:left w:type="dxa" w:w="100"/>
              <w:bottom w:type="dxa" w:w="2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00"/>
            <w:tcMar>
              <w:top w:type="dxa" w:w="260"/>
              <w:left w:type="dxa" w:w="100"/>
              <w:bottom w:type="dxa" w:w="2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00"/>
            <w:tcMar>
              <w:top w:type="dxa" w:w="260"/>
              <w:left w:type="dxa" w:w="100"/>
              <w:bottom w:type="dxa" w:w="2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80"/>
            <w:tcMar>
              <w:top w:type="dxa" w:w="260"/>
              <w:left w:type="dxa" w:w="100"/>
              <w:bottom w:type="dxa" w:w="2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2400"/>
            <w:tcMar>
              <w:top w:type="dxa" w:w="260"/>
              <w:left w:type="dxa" w:w="100"/>
              <w:bottom w:type="dxa" w:w="2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00"/>
            <w:tcMar>
              <w:top w:type="dxa" w:w="260"/>
              <w:left w:type="dxa" w:w="100"/>
              <w:bottom w:type="dxa" w:w="2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00"/>
            <w:tcMar>
              <w:top w:type="dxa" w:w="260"/>
              <w:left w:type="dxa" w:w="100"/>
              <w:bottom w:type="dxa" w:w="2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00"/>
            <w:tcMar>
              <w:top w:type="dxa" w:w="260"/>
              <w:left w:type="dxa" w:w="100"/>
              <w:bottom w:type="dxa" w:w="2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1980"/>
            <w:tcMar>
              <w:top w:type="dxa" w:w="260"/>
              <w:left w:type="dxa" w:w="100"/>
              <w:bottom w:type="dxa" w:w="2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spacing w:after="200"/>
      </w:pPr>
    </w:p>
    <w:p>
      <w:pPr>
        <w:pStyle w:val="Heading2"/>
        <w:spacing w:after="120" w:before="260"/>
      </w:pPr>
      <w:r>
        <w:rPr>
          <w:b/>
          <w:bCs/>
          <w:color w:val="2E7D74"/>
          <w:sz w:val="24"/>
          <w:szCs w:val="24"/>
        </w:rPr>
        <w:t xml:space="preserve">Questions?</w:t>
      </w:r>
    </w:p>
    <w:p>
      <w:pPr>
        <w:spacing w:after="120"/>
      </w:pPr>
      <w:r>
        <w:rPr>
          <w:b w:val="false"/>
          <w:bCs w:val="false"/>
          <w:i w:val="false"/>
          <w:iCs w:val="false"/>
          <w:color w:val="222222"/>
          <w:sz w:val="21"/>
          <w:szCs w:val="21"/>
        </w:rPr>
        <w:t xml:space="preserve">If you get stuck on any step, reach out to our intake or billing team — we're happy to help you gather documents or double-check an application before you submit it.</w:t>
      </w:r>
    </w:p>
    <w:sectPr>
      <w:headerReference w:type="default" r:id="rId7"/>
      <w:footerReference w:type="default" r:id="rId8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595959"/>
        <w:sz w:val="16"/>
        <w:szCs w:val="16"/>
      </w:rPr>
      <w:t xml:space="preserve">Page </w:t>
    </w:r>
    <w:r>
      <w:rPr>
        <w:color w:val="595959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595959"/>
        <w:sz w:val="16"/>
        <w:szCs w:val="16"/>
      </w:rPr>
      <w:t xml:space="preserve">Paying for Therapy: A Family Grant Guide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20" w:hanging="2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20" w:hanging="2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2026-07-21T20:28:39.925Z</dcterms:created>
  <dcterms:modified xsi:type="dcterms:W3CDTF">2026-07-21T20:28:39.936Z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